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FE70" w14:textId="01810421" w:rsidR="00695310" w:rsidRPr="006E220C" w:rsidRDefault="00695310" w:rsidP="00674088">
      <w:pPr>
        <w:rPr>
          <w:b/>
          <w:bCs/>
          <w:sz w:val="36"/>
          <w:szCs w:val="36"/>
        </w:rPr>
      </w:pPr>
      <w:r w:rsidRPr="006E220C">
        <w:rPr>
          <w:b/>
          <w:bCs/>
          <w:sz w:val="36"/>
          <w:szCs w:val="36"/>
        </w:rPr>
        <w:t>A Comparative Analysis of Gun Violence Injuries and Deaths in the US and Europe</w:t>
      </w:r>
    </w:p>
    <w:p w14:paraId="277F7253" w14:textId="77777777" w:rsidR="009171B3" w:rsidRDefault="009171B3" w:rsidP="00674088">
      <w:pPr>
        <w:rPr>
          <w:b/>
          <w:bCs/>
          <w:sz w:val="28"/>
          <w:szCs w:val="28"/>
        </w:rPr>
      </w:pPr>
    </w:p>
    <w:p w14:paraId="4458A8E6" w14:textId="25722844" w:rsidR="00674088" w:rsidRPr="00F8369E" w:rsidRDefault="00674088" w:rsidP="00674088">
      <w:pPr>
        <w:rPr>
          <w:b/>
          <w:bCs/>
          <w:sz w:val="28"/>
          <w:szCs w:val="28"/>
        </w:rPr>
      </w:pPr>
      <w:r w:rsidRPr="00F8369E">
        <w:rPr>
          <w:b/>
          <w:bCs/>
          <w:sz w:val="28"/>
          <w:szCs w:val="28"/>
        </w:rPr>
        <w:t>Abstract</w:t>
      </w:r>
    </w:p>
    <w:p w14:paraId="2A500734" w14:textId="77777777" w:rsidR="007D413F" w:rsidRPr="00195A4B" w:rsidRDefault="007D413F" w:rsidP="007D413F">
      <w:pPr>
        <w:pStyle w:val="NormalWeb"/>
      </w:pPr>
      <w:r w:rsidRPr="00195A4B">
        <w:t>This comparative study analyzes gun violence injuries and deaths in the US and Europe over the past five years, excluding war-related incidents, examining statistics on injury mechanisms, mortality rates, and potential explanations for variations. Utilizing data from reputable sources like the Institute for Health Metrics and Evaluation and Eurostat, the findings indicate significantly higher rates of gun violence in the US compared to Europe, primarily attributed to the greater prevalence of handguns and weaker firearm regulations. The study highlights the urgent need for further research and intervention to address this serious and multifaceted issue.</w:t>
      </w:r>
    </w:p>
    <w:p w14:paraId="104B35A8" w14:textId="77777777" w:rsidR="00195A4B" w:rsidRDefault="00195A4B" w:rsidP="00674088">
      <w:pPr>
        <w:rPr>
          <w:b/>
          <w:bCs/>
          <w:sz w:val="28"/>
          <w:szCs w:val="28"/>
        </w:rPr>
      </w:pPr>
    </w:p>
    <w:p w14:paraId="77804327" w14:textId="2073A9F1" w:rsidR="00674088" w:rsidRDefault="00F8369E" w:rsidP="00674088">
      <w:pPr>
        <w:rPr>
          <w:b/>
          <w:bCs/>
          <w:sz w:val="28"/>
          <w:szCs w:val="28"/>
        </w:rPr>
      </w:pPr>
      <w:r w:rsidRPr="00EB7A43">
        <w:rPr>
          <w:b/>
          <w:bCs/>
          <w:sz w:val="28"/>
          <w:szCs w:val="28"/>
        </w:rPr>
        <w:t>Introduction</w:t>
      </w:r>
    </w:p>
    <w:p w14:paraId="56D26712" w14:textId="152C5663" w:rsidR="00EB7A43" w:rsidRPr="007D413F" w:rsidRDefault="00B52BF7" w:rsidP="00674088">
      <w:pPr>
        <w:rPr>
          <w:sz w:val="24"/>
          <w:szCs w:val="24"/>
        </w:rPr>
      </w:pPr>
      <w:r w:rsidRPr="00A16410">
        <w:rPr>
          <w:rFonts w:ascii="Times New Roman" w:hAnsi="Times New Roman" w:cs="Times New Roman"/>
          <w:sz w:val="24"/>
          <w:szCs w:val="24"/>
        </w:rPr>
        <w:t>Gun violence in the United States poses a critical public health concern, resulting in more fatalities and injuries than any other developed country. This study compares recent gun violence in the US to that of Europe, excluding war-related incidents, over the past five years. The study also provides statistics on injury mechanisms, mortality rates, and plausible explanations for the observed differences</w:t>
      </w:r>
      <w:r w:rsidRPr="00B52BF7">
        <w:rPr>
          <w:sz w:val="24"/>
          <w:szCs w:val="24"/>
        </w:rPr>
        <w:t>.</w:t>
      </w:r>
    </w:p>
    <w:p w14:paraId="3E37EC62" w14:textId="79A30BF8" w:rsidR="00674088" w:rsidRPr="00F8369E" w:rsidRDefault="00674088" w:rsidP="00674088">
      <w:pPr>
        <w:rPr>
          <w:b/>
          <w:bCs/>
          <w:sz w:val="28"/>
          <w:szCs w:val="28"/>
        </w:rPr>
      </w:pPr>
      <w:r w:rsidRPr="00F8369E">
        <w:rPr>
          <w:b/>
          <w:bCs/>
          <w:sz w:val="28"/>
          <w:szCs w:val="28"/>
        </w:rPr>
        <w:t>Methodology</w:t>
      </w:r>
    </w:p>
    <w:p w14:paraId="6645C481" w14:textId="77777777" w:rsidR="00316888" w:rsidRPr="00A16410" w:rsidRDefault="00316888" w:rsidP="00316888">
      <w:pPr>
        <w:pStyle w:val="NormalWeb"/>
      </w:pPr>
      <w:r w:rsidRPr="00A16410">
        <w:t>To conduct this study, we gathered data from a variety of sources and used different methods of collection and analysis. Our primary source for information on gun-related injuries and deaths in the US was the Institute for Health Metrics and Evaluation (IHME) at the University of Washington. The IHME collects data from official death certificates and supplements it with statistical modeling to estimate firearm mortality across 195 countries and territories. For Europe, we relied on Eurostat, the statistical office of the European Union (EU), which collects data from national statistical authorities. We also consulted several reputable secondary sources, including Boston University School of Public Health, Sydney School of Public Health at the University of Sydney, Small Arms Survey, Pew Research Center, and Gun Policy Facts and News, to provide additional information on firearm types, mechanisms of injury, case fatality rates, civilian gun ownership, and gun laws in the US and Europe.</w:t>
      </w:r>
    </w:p>
    <w:p w14:paraId="1D906F25" w14:textId="77777777" w:rsidR="00316888" w:rsidRPr="00A16410" w:rsidRDefault="00316888" w:rsidP="00316888">
      <w:pPr>
        <w:pStyle w:val="NormalWeb"/>
      </w:pPr>
      <w:r w:rsidRPr="00A16410">
        <w:t xml:space="preserve">We </w:t>
      </w:r>
      <w:proofErr w:type="gramStart"/>
      <w:r w:rsidRPr="00A16410">
        <w:t>compared and contrasted</w:t>
      </w:r>
      <w:proofErr w:type="gramEnd"/>
      <w:r w:rsidRPr="00A16410">
        <w:t xml:space="preserve"> the data from different sources to understand the similarities and differences in gun violence between the US and Europe. We also explored various factors that may influence gun violence, such as cultural norms, socioeconomic conditions, mental health services, drug trafficking, law enforcement practices, and gun laws. While interpreting the data, we acknowledged the limitations and challenges of data collection and analysis. For instance, the primary source of data in the US was official death certificates, which may not accurately </w:t>
      </w:r>
      <w:r w:rsidRPr="00A16410">
        <w:lastRenderedPageBreak/>
        <w:t>capture the true extent of gun violence due to underreporting or other factors. Similarly, while Eurostat provides comprehensive data on firearm deaths in Europe, it may not capture the nuances of gun-related violence in individual countries.</w:t>
      </w:r>
    </w:p>
    <w:p w14:paraId="1392F2E5" w14:textId="71BBCCCF" w:rsidR="00456161" w:rsidRPr="00456161" w:rsidRDefault="00456161" w:rsidP="00674088">
      <w:pPr>
        <w:rPr>
          <w:b/>
          <w:bCs/>
          <w:sz w:val="28"/>
          <w:szCs w:val="28"/>
        </w:rPr>
      </w:pPr>
      <w:r w:rsidRPr="00456161">
        <w:rPr>
          <w:b/>
          <w:bCs/>
          <w:sz w:val="28"/>
          <w:szCs w:val="28"/>
        </w:rPr>
        <w:t>Results</w:t>
      </w:r>
    </w:p>
    <w:p w14:paraId="278A25BF" w14:textId="77777777" w:rsidR="0083710C" w:rsidRPr="009201AA" w:rsidRDefault="0083710C" w:rsidP="0083710C">
      <w:pPr>
        <w:rPr>
          <w:rFonts w:ascii="Times New Roman" w:hAnsi="Times New Roman" w:cs="Times New Roman"/>
          <w:sz w:val="24"/>
          <w:szCs w:val="24"/>
        </w:rPr>
      </w:pPr>
      <w:r w:rsidRPr="009201AA">
        <w:rPr>
          <w:rFonts w:ascii="Times New Roman" w:hAnsi="Times New Roman" w:cs="Times New Roman"/>
          <w:sz w:val="24"/>
          <w:szCs w:val="24"/>
        </w:rPr>
        <w:t xml:space="preserve">According to the Institute for Health Metrics and Evaluation (IHME), a global research center at the University of Washington, </w:t>
      </w:r>
      <w:bookmarkStart w:id="0" w:name="_Hlk145109790"/>
      <w:r w:rsidRPr="009201AA">
        <w:rPr>
          <w:rFonts w:ascii="Times New Roman" w:hAnsi="Times New Roman" w:cs="Times New Roman"/>
          <w:sz w:val="24"/>
          <w:szCs w:val="24"/>
        </w:rPr>
        <w:t xml:space="preserve">there were 48,830 people who died from gun-related injuries in the US in </w:t>
      </w:r>
      <w:bookmarkEnd w:id="0"/>
      <w:r w:rsidRPr="009201AA">
        <w:rPr>
          <w:rFonts w:ascii="Times New Roman" w:hAnsi="Times New Roman" w:cs="Times New Roman"/>
          <w:sz w:val="24"/>
          <w:szCs w:val="24"/>
        </w:rPr>
        <w:t xml:space="preserve">2021, the most recent year for which complete data is available </w:t>
      </w:r>
      <w:r w:rsidRPr="009201AA">
        <w:rPr>
          <w:rFonts w:ascii="Times New Roman" w:hAnsi="Times New Roman" w:cs="Times New Roman"/>
          <w:sz w:val="24"/>
          <w:szCs w:val="24"/>
          <w:vertAlign w:val="superscript"/>
        </w:rPr>
        <w:t>[1]</w:t>
      </w:r>
      <w:r w:rsidRPr="009201AA">
        <w:rPr>
          <w:rFonts w:ascii="Times New Roman" w:hAnsi="Times New Roman" w:cs="Times New Roman"/>
          <w:sz w:val="24"/>
          <w:szCs w:val="24"/>
        </w:rPr>
        <w:t>. That figure includes gun murders and gun suicides, along with accidental, law enforcement, and undetermined gun deaths. The total excludes deaths in which gunshot injuries played a contributing, but not principal, role. The IHME estimates that the death toll from guns surpassed that from war and terrorism nearly every year since 1990</w:t>
      </w:r>
      <w:r w:rsidRPr="009201AA">
        <w:rPr>
          <w:rFonts w:ascii="Times New Roman" w:hAnsi="Times New Roman" w:cs="Times New Roman"/>
          <w:sz w:val="24"/>
          <w:szCs w:val="24"/>
          <w:vertAlign w:val="superscript"/>
        </w:rPr>
        <w:t>[2]</w:t>
      </w:r>
      <w:r w:rsidRPr="009201AA">
        <w:rPr>
          <w:rFonts w:ascii="Times New Roman" w:hAnsi="Times New Roman" w:cs="Times New Roman"/>
          <w:sz w:val="24"/>
          <w:szCs w:val="24"/>
        </w:rPr>
        <w:t>.</w:t>
      </w:r>
    </w:p>
    <w:p w14:paraId="79D6CFD9" w14:textId="77777777" w:rsidR="0083710C" w:rsidRPr="009201AA" w:rsidRDefault="0083710C" w:rsidP="0083710C">
      <w:pPr>
        <w:rPr>
          <w:rFonts w:ascii="Times New Roman" w:hAnsi="Times New Roman" w:cs="Times New Roman"/>
          <w:sz w:val="24"/>
          <w:szCs w:val="24"/>
        </w:rPr>
      </w:pPr>
      <w:r w:rsidRPr="009201AA">
        <w:rPr>
          <w:rFonts w:ascii="Times New Roman" w:hAnsi="Times New Roman" w:cs="Times New Roman"/>
          <w:sz w:val="24"/>
          <w:szCs w:val="24"/>
        </w:rPr>
        <w:t>In contrast, the European Union (EU), which has a larger population than the US, reported 4,381 firearm deaths in 2019, the latest year for which data is available from Eurostat, the statistical office of the EU. That number includes intentional homicides, suicides, accidents, and undetermined deaths involving firearms. The EU does not provide separate data for war-related firearm deaths</w:t>
      </w:r>
      <w:r w:rsidRPr="009201AA">
        <w:rPr>
          <w:rFonts w:ascii="Times New Roman" w:hAnsi="Times New Roman" w:cs="Times New Roman"/>
          <w:sz w:val="24"/>
          <w:szCs w:val="24"/>
          <w:vertAlign w:val="superscript"/>
        </w:rPr>
        <w:t xml:space="preserve"> [3]. </w:t>
      </w:r>
      <w:r w:rsidRPr="009201AA">
        <w:rPr>
          <w:rFonts w:ascii="Times New Roman" w:hAnsi="Times New Roman" w:cs="Times New Roman"/>
          <w:sz w:val="24"/>
          <w:szCs w:val="24"/>
        </w:rPr>
        <w:t>There were 39707 people who died from gun-related injuries in the US during the same period. (Fig 1)</w:t>
      </w:r>
    </w:p>
    <w:p w14:paraId="16937B75" w14:textId="2B0ACA33" w:rsidR="00674088" w:rsidRDefault="00AB64C2" w:rsidP="009201AA">
      <w:pPr>
        <w:pStyle w:val="NormalWeb"/>
      </w:pPr>
      <w:r>
        <w:t>In 2019, the US had an age-adjusted firearm homicide rate of 4.0 per 100,000 population, which was more than 22 times higher than the EU average of 0.18 per 100,000 population in the same year. Additionally, the US had a significantly higher firearm suicide rate than the EU, with 8.1 versus 0.35 per 100,000 population in 2019. Shockingly, despite comprising only 4% of the global population, the US accounted for over a third of the world's firearm suicides in 2019.</w:t>
      </w:r>
    </w:p>
    <w:p w14:paraId="3F7CF70B" w14:textId="77777777" w:rsidR="00195A4B" w:rsidRDefault="00195A4B" w:rsidP="00195A4B">
      <w:pPr>
        <w:pStyle w:val="NormalWeb"/>
      </w:pPr>
      <w:r>
        <w:t>The type of firearm and intent significantly influence injury and mortality rates. According to a study conducted by researchers at Boston University School of Public Health, handguns were responsible for 86% of firearm homicides and 63% of firearm suicides in the US between 2015 and 2019. In comparison, rifles accounted for only 4% of firearm homicides and 5% of firearm suicides, while shotguns accounted for 5% and 10%, respectively. The study also highlighted that handguns had a higher case fatality rate (CFR) than rifles or shotguns in both homicides and suicides. Specifically, the CFR for handgun homicides was 25%, compared to 17% for rifle homicides and 14% for shotgun homicides. Similarly, the CFR for handgun suicides was 85%, while the CFR for rifle suicides and shotgun suicides was 78% and 76%, respectively.</w:t>
      </w:r>
    </w:p>
    <w:p w14:paraId="537BE5FE" w14:textId="0C8A1EA2" w:rsidR="00674088" w:rsidRDefault="000D416E" w:rsidP="00674088">
      <w:r>
        <w:t>Fig. 1</w:t>
      </w:r>
    </w:p>
    <w:tbl>
      <w:tblPr>
        <w:tblStyle w:val="TableGrid"/>
        <w:tblpPr w:leftFromText="180" w:rightFromText="180" w:vertAnchor="text" w:horzAnchor="margin" w:tblpY="20"/>
        <w:tblW w:w="0" w:type="auto"/>
        <w:tblLook w:val="04A0" w:firstRow="1" w:lastRow="0" w:firstColumn="1" w:lastColumn="0" w:noHBand="0" w:noVBand="1"/>
      </w:tblPr>
      <w:tblGrid>
        <w:gridCol w:w="3116"/>
        <w:gridCol w:w="3117"/>
        <w:gridCol w:w="3117"/>
      </w:tblGrid>
      <w:tr w:rsidR="000D416E" w14:paraId="0E666903" w14:textId="77777777" w:rsidTr="000D416E">
        <w:tc>
          <w:tcPr>
            <w:tcW w:w="3116" w:type="dxa"/>
          </w:tcPr>
          <w:p w14:paraId="400C2DCE" w14:textId="77777777" w:rsidR="000D416E" w:rsidRPr="00CE2D20" w:rsidRDefault="000D416E" w:rsidP="000D416E">
            <w:pPr>
              <w:jc w:val="center"/>
              <w:rPr>
                <w:b/>
                <w:bCs/>
                <w:sz w:val="28"/>
                <w:szCs w:val="28"/>
              </w:rPr>
            </w:pPr>
            <w:r w:rsidRPr="00CE2D20">
              <w:rPr>
                <w:b/>
                <w:bCs/>
                <w:sz w:val="28"/>
                <w:szCs w:val="28"/>
              </w:rPr>
              <w:t>Year 2019</w:t>
            </w:r>
          </w:p>
        </w:tc>
        <w:tc>
          <w:tcPr>
            <w:tcW w:w="3117" w:type="dxa"/>
          </w:tcPr>
          <w:p w14:paraId="2E4619B2" w14:textId="77777777" w:rsidR="000D416E" w:rsidRPr="00CE2D20" w:rsidRDefault="000D416E" w:rsidP="000D416E">
            <w:pPr>
              <w:jc w:val="center"/>
              <w:rPr>
                <w:b/>
                <w:bCs/>
                <w:sz w:val="28"/>
                <w:szCs w:val="28"/>
              </w:rPr>
            </w:pPr>
            <w:r w:rsidRPr="00CE2D20">
              <w:rPr>
                <w:b/>
                <w:bCs/>
                <w:sz w:val="28"/>
                <w:szCs w:val="28"/>
              </w:rPr>
              <w:t>United States</w:t>
            </w:r>
          </w:p>
        </w:tc>
        <w:tc>
          <w:tcPr>
            <w:tcW w:w="3117" w:type="dxa"/>
          </w:tcPr>
          <w:p w14:paraId="52547DAE" w14:textId="77777777" w:rsidR="000D416E" w:rsidRPr="00CE2D20" w:rsidRDefault="000D416E" w:rsidP="000D416E">
            <w:pPr>
              <w:jc w:val="center"/>
              <w:rPr>
                <w:b/>
                <w:bCs/>
                <w:sz w:val="28"/>
                <w:szCs w:val="28"/>
              </w:rPr>
            </w:pPr>
            <w:r w:rsidRPr="00CE2D20">
              <w:rPr>
                <w:b/>
                <w:bCs/>
                <w:sz w:val="28"/>
                <w:szCs w:val="28"/>
              </w:rPr>
              <w:t>Europe</w:t>
            </w:r>
          </w:p>
        </w:tc>
      </w:tr>
      <w:tr w:rsidR="000D416E" w14:paraId="1B94A2AB" w14:textId="77777777" w:rsidTr="000D416E">
        <w:tc>
          <w:tcPr>
            <w:tcW w:w="3116" w:type="dxa"/>
          </w:tcPr>
          <w:p w14:paraId="09D741AE" w14:textId="77777777" w:rsidR="000D416E" w:rsidRPr="00F13CC9" w:rsidRDefault="000D416E" w:rsidP="000D416E">
            <w:pPr>
              <w:jc w:val="center"/>
              <w:rPr>
                <w:b/>
                <w:bCs/>
              </w:rPr>
            </w:pPr>
            <w:r w:rsidRPr="00F13CC9">
              <w:rPr>
                <w:b/>
                <w:bCs/>
              </w:rPr>
              <w:t>Total Gun Related Deaths</w:t>
            </w:r>
          </w:p>
        </w:tc>
        <w:tc>
          <w:tcPr>
            <w:tcW w:w="3117" w:type="dxa"/>
          </w:tcPr>
          <w:p w14:paraId="21FF5C6C" w14:textId="77777777" w:rsidR="000D416E" w:rsidRDefault="000D416E" w:rsidP="000D416E">
            <w:pPr>
              <w:jc w:val="center"/>
            </w:pPr>
            <w:r>
              <w:t>39707</w:t>
            </w:r>
          </w:p>
        </w:tc>
        <w:tc>
          <w:tcPr>
            <w:tcW w:w="3117" w:type="dxa"/>
          </w:tcPr>
          <w:p w14:paraId="5C895527" w14:textId="77777777" w:rsidR="000D416E" w:rsidRDefault="000D416E" w:rsidP="000D416E">
            <w:pPr>
              <w:jc w:val="center"/>
            </w:pPr>
            <w:r>
              <w:t>4381</w:t>
            </w:r>
          </w:p>
        </w:tc>
      </w:tr>
      <w:tr w:rsidR="000D416E" w14:paraId="0AB9052D" w14:textId="77777777" w:rsidTr="000D416E">
        <w:tc>
          <w:tcPr>
            <w:tcW w:w="3116" w:type="dxa"/>
          </w:tcPr>
          <w:p w14:paraId="30314A5F" w14:textId="77777777" w:rsidR="000D416E" w:rsidRPr="00F13CC9" w:rsidRDefault="000D416E" w:rsidP="000D416E">
            <w:pPr>
              <w:jc w:val="center"/>
              <w:rPr>
                <w:b/>
                <w:bCs/>
              </w:rPr>
            </w:pPr>
            <w:r w:rsidRPr="00F13CC9">
              <w:rPr>
                <w:b/>
                <w:bCs/>
              </w:rPr>
              <w:t>Age Adjusted Homicide Rate</w:t>
            </w:r>
          </w:p>
          <w:p w14:paraId="6DFEE697" w14:textId="77777777" w:rsidR="000D416E" w:rsidRPr="00F13CC9" w:rsidRDefault="000D416E" w:rsidP="000D416E">
            <w:pPr>
              <w:jc w:val="center"/>
              <w:rPr>
                <w:b/>
                <w:bCs/>
              </w:rPr>
            </w:pPr>
            <w:r w:rsidRPr="00F13CC9">
              <w:rPr>
                <w:b/>
                <w:bCs/>
              </w:rPr>
              <w:t>Per 100,000</w:t>
            </w:r>
          </w:p>
        </w:tc>
        <w:tc>
          <w:tcPr>
            <w:tcW w:w="3117" w:type="dxa"/>
          </w:tcPr>
          <w:p w14:paraId="66E12504" w14:textId="77777777" w:rsidR="000D416E" w:rsidRDefault="000D416E" w:rsidP="000D416E">
            <w:pPr>
              <w:jc w:val="center"/>
            </w:pPr>
            <w:r>
              <w:t>4.0</w:t>
            </w:r>
          </w:p>
        </w:tc>
        <w:tc>
          <w:tcPr>
            <w:tcW w:w="3117" w:type="dxa"/>
          </w:tcPr>
          <w:p w14:paraId="6655F586" w14:textId="77777777" w:rsidR="000D416E" w:rsidRDefault="000D416E" w:rsidP="000D416E">
            <w:pPr>
              <w:jc w:val="center"/>
            </w:pPr>
            <w:r>
              <w:t>0.18</w:t>
            </w:r>
          </w:p>
        </w:tc>
      </w:tr>
      <w:tr w:rsidR="000D416E" w14:paraId="70673EA9" w14:textId="77777777" w:rsidTr="000D416E">
        <w:tc>
          <w:tcPr>
            <w:tcW w:w="3116" w:type="dxa"/>
          </w:tcPr>
          <w:p w14:paraId="77084D9C" w14:textId="77777777" w:rsidR="000D416E" w:rsidRPr="00F13CC9" w:rsidRDefault="000D416E" w:rsidP="000D416E">
            <w:pPr>
              <w:jc w:val="center"/>
              <w:rPr>
                <w:b/>
                <w:bCs/>
              </w:rPr>
            </w:pPr>
            <w:r w:rsidRPr="00F13CC9">
              <w:rPr>
                <w:b/>
                <w:bCs/>
              </w:rPr>
              <w:t>Firearm Related Suicide Rate</w:t>
            </w:r>
          </w:p>
        </w:tc>
        <w:tc>
          <w:tcPr>
            <w:tcW w:w="3117" w:type="dxa"/>
          </w:tcPr>
          <w:p w14:paraId="149657B4" w14:textId="77777777" w:rsidR="000D416E" w:rsidRDefault="000D416E" w:rsidP="000D416E">
            <w:pPr>
              <w:jc w:val="center"/>
            </w:pPr>
            <w:r>
              <w:t>8.1</w:t>
            </w:r>
          </w:p>
        </w:tc>
        <w:tc>
          <w:tcPr>
            <w:tcW w:w="3117" w:type="dxa"/>
          </w:tcPr>
          <w:p w14:paraId="66AF5BF2" w14:textId="77777777" w:rsidR="000D416E" w:rsidRDefault="000D416E" w:rsidP="000D416E">
            <w:pPr>
              <w:jc w:val="center"/>
            </w:pPr>
            <w:r>
              <w:t>0.35</w:t>
            </w:r>
          </w:p>
        </w:tc>
      </w:tr>
    </w:tbl>
    <w:p w14:paraId="370D9E03" w14:textId="77777777" w:rsidR="00195A4B" w:rsidRDefault="00195A4B" w:rsidP="00674088">
      <w:pPr>
        <w:rPr>
          <w:b/>
          <w:bCs/>
          <w:sz w:val="28"/>
          <w:szCs w:val="28"/>
        </w:rPr>
      </w:pPr>
    </w:p>
    <w:p w14:paraId="28014883" w14:textId="7ECA6EE7" w:rsidR="00456161" w:rsidRPr="00456161" w:rsidRDefault="00456161" w:rsidP="00674088">
      <w:pPr>
        <w:rPr>
          <w:b/>
          <w:bCs/>
          <w:sz w:val="28"/>
          <w:szCs w:val="28"/>
        </w:rPr>
      </w:pPr>
      <w:r w:rsidRPr="00456161">
        <w:rPr>
          <w:b/>
          <w:bCs/>
          <w:sz w:val="28"/>
          <w:szCs w:val="28"/>
        </w:rPr>
        <w:lastRenderedPageBreak/>
        <w:t>Discussion</w:t>
      </w:r>
    </w:p>
    <w:p w14:paraId="6C6DA2DC" w14:textId="77777777" w:rsidR="0000764D" w:rsidRDefault="0000764D" w:rsidP="0000764D">
      <w:pPr>
        <w:pStyle w:val="NormalWeb"/>
      </w:pPr>
      <w:r>
        <w:t>The data on firearm types and injury mechanisms in Europe is not as comprehensive or comparable as in the US. However, some studies suggest that among civilian firearm owners in Europe, long guns (rifles and shotguns) are more prevalent than handguns [5][6]. This could partly explain why firearm homicide and suicide rates are lower in Europe compared to the US, as long guns typically have lower casualty fatality rates (CFRs) than handguns.</w:t>
      </w:r>
    </w:p>
    <w:p w14:paraId="450DB520" w14:textId="77777777" w:rsidR="0000764D" w:rsidRDefault="0000764D" w:rsidP="0000764D">
      <w:pPr>
        <w:pStyle w:val="NormalWeb"/>
      </w:pPr>
      <w:r>
        <w:t>Numerous factors contribute to the disparity in gun violence between the US and Europe, including cultural norms, socioeconomic conditions, mental health services, drug trafficking, law enforcement practices, and gun laws. The US has a unique history and tradition of gun ownership dating back to its founding, and it boasts a significantly higher rate of civilian gun ownership than any European country, with an estimated 120.5 guns per 100 residents in 2017[7]. In comparison, France has 19.6 guns per 100 residents, Germany has 14.5, and the UK has 4.6. Additionally, the US has less stringent gun laws compared to most European countries, which generally require background checks, licensing, registration, safe storage, and limitations on types and quantities of firearms for civilian use [8].</w:t>
      </w:r>
    </w:p>
    <w:p w14:paraId="5CE4C784" w14:textId="64743B71" w:rsidR="00674088" w:rsidRPr="003B44CF" w:rsidRDefault="003B44CF" w:rsidP="00674088">
      <w:pPr>
        <w:rPr>
          <w:b/>
          <w:bCs/>
          <w:sz w:val="28"/>
          <w:szCs w:val="28"/>
        </w:rPr>
      </w:pPr>
      <w:r w:rsidRPr="003B44CF">
        <w:rPr>
          <w:b/>
          <w:bCs/>
          <w:sz w:val="28"/>
          <w:szCs w:val="28"/>
        </w:rPr>
        <w:t>Conclusion</w:t>
      </w:r>
    </w:p>
    <w:p w14:paraId="393C4FBF" w14:textId="77777777" w:rsidR="009B3735" w:rsidRDefault="009B3735" w:rsidP="009B3735">
      <w:pPr>
        <w:pStyle w:val="NormalWeb"/>
      </w:pPr>
      <w:r>
        <w:t>Gun violence poses a grave and multifaceted problem with widespread impact on individuals and communities. In comparison to Europe, the United States experiences alarmingly higher rates of gun-related injuries and fatalities, primarily due to the prevalence of handguns and lax gun regulations. Nonetheless, resolving this issue demands a comprehensive approach involving various dimensions and stakeholders. To effectively address gun violence, further research is imperative to comprehend its root causes, consequences, and to assess the efficacy of diverse interventions aimed at prevention.</w:t>
      </w:r>
    </w:p>
    <w:p w14:paraId="1F206648" w14:textId="77777777" w:rsidR="00674088" w:rsidRDefault="00674088" w:rsidP="00674088"/>
    <w:p w14:paraId="657DD193" w14:textId="5A1946F3" w:rsidR="00674088" w:rsidRPr="003B44CF" w:rsidRDefault="00674088" w:rsidP="00674088">
      <w:pPr>
        <w:rPr>
          <w:b/>
          <w:bCs/>
          <w:sz w:val="28"/>
          <w:szCs w:val="28"/>
        </w:rPr>
      </w:pPr>
      <w:r w:rsidRPr="003B44CF">
        <w:rPr>
          <w:b/>
          <w:bCs/>
          <w:sz w:val="28"/>
          <w:szCs w:val="28"/>
        </w:rPr>
        <w:t>References</w:t>
      </w:r>
    </w:p>
    <w:p w14:paraId="2682EF18" w14:textId="504DB9CE" w:rsidR="00674088" w:rsidRPr="00A16410" w:rsidRDefault="00674088" w:rsidP="00674088">
      <w:pPr>
        <w:rPr>
          <w:rFonts w:ascii="Times New Roman" w:hAnsi="Times New Roman" w:cs="Times New Roman"/>
          <w:sz w:val="24"/>
          <w:szCs w:val="24"/>
        </w:rPr>
      </w:pPr>
      <w:r w:rsidRPr="00A16410">
        <w:rPr>
          <w:rFonts w:ascii="Times New Roman" w:hAnsi="Times New Roman" w:cs="Times New Roman"/>
          <w:sz w:val="24"/>
          <w:szCs w:val="24"/>
        </w:rPr>
        <w:t>[1] What the data says about gun deaths in the U.S. | Pew Research Center. https://www.pewresearch.org/short-reads/2023/04/26/what-the-data-says-about-gun-deaths-in-the-u-s/</w:t>
      </w:r>
    </w:p>
    <w:p w14:paraId="15E437AE" w14:textId="50DDE97A" w:rsidR="00674088" w:rsidRPr="00A16410" w:rsidRDefault="00674088" w:rsidP="00674088">
      <w:pPr>
        <w:rPr>
          <w:rFonts w:ascii="Times New Roman" w:hAnsi="Times New Roman" w:cs="Times New Roman"/>
          <w:sz w:val="24"/>
          <w:szCs w:val="24"/>
        </w:rPr>
      </w:pPr>
      <w:r w:rsidRPr="00A16410">
        <w:rPr>
          <w:rFonts w:ascii="Times New Roman" w:hAnsi="Times New Roman" w:cs="Times New Roman"/>
          <w:sz w:val="24"/>
          <w:szCs w:val="24"/>
        </w:rPr>
        <w:t>[2] IHME | Results Tool. http://ghdx.healthdata.org/gbd-results-tool</w:t>
      </w:r>
    </w:p>
    <w:p w14:paraId="71E3B228" w14:textId="6C52DEC2" w:rsidR="00674088" w:rsidRPr="00A16410" w:rsidRDefault="00674088" w:rsidP="00674088">
      <w:pPr>
        <w:rPr>
          <w:rFonts w:ascii="Times New Roman" w:hAnsi="Times New Roman" w:cs="Times New Roman"/>
          <w:sz w:val="24"/>
          <w:szCs w:val="24"/>
        </w:rPr>
      </w:pPr>
      <w:r w:rsidRPr="00A16410">
        <w:rPr>
          <w:rFonts w:ascii="Times New Roman" w:hAnsi="Times New Roman" w:cs="Times New Roman"/>
          <w:sz w:val="24"/>
          <w:szCs w:val="24"/>
        </w:rPr>
        <w:t>[3] Eurostat - Tables, Graphs and Maps Interface (TGM) table. https://ec.europa.eu/eurostat/tgm/table.do?tab=table&amp;init=1&amp;language=en&amp;pcode=tps00122&amp;plugin=1</w:t>
      </w:r>
    </w:p>
    <w:p w14:paraId="13453077" w14:textId="4238B8D4" w:rsidR="00674088" w:rsidRPr="00A16410" w:rsidRDefault="00674088" w:rsidP="00674088">
      <w:pPr>
        <w:rPr>
          <w:rFonts w:ascii="Times New Roman" w:hAnsi="Times New Roman" w:cs="Times New Roman"/>
          <w:sz w:val="24"/>
          <w:szCs w:val="24"/>
        </w:rPr>
      </w:pPr>
      <w:r w:rsidRPr="00A16410">
        <w:rPr>
          <w:rFonts w:ascii="Times New Roman" w:hAnsi="Times New Roman" w:cs="Times New Roman"/>
          <w:sz w:val="24"/>
          <w:szCs w:val="24"/>
        </w:rPr>
        <w:t xml:space="preserve">[4] </w:t>
      </w:r>
      <w:proofErr w:type="spellStart"/>
      <w:r w:rsidRPr="00A16410">
        <w:rPr>
          <w:rFonts w:ascii="Times New Roman" w:hAnsi="Times New Roman" w:cs="Times New Roman"/>
          <w:sz w:val="24"/>
          <w:szCs w:val="24"/>
        </w:rPr>
        <w:t>Kalesan</w:t>
      </w:r>
      <w:proofErr w:type="spellEnd"/>
      <w:r w:rsidRPr="00A16410">
        <w:rPr>
          <w:rFonts w:ascii="Times New Roman" w:hAnsi="Times New Roman" w:cs="Times New Roman"/>
          <w:sz w:val="24"/>
          <w:szCs w:val="24"/>
        </w:rPr>
        <w:t xml:space="preserve"> B, Galea S. Firearm type, intent, and fatality in US firearm deaths, 2015–2019. Injury Epidemiology. 2021;8(1):1-10.</w:t>
      </w:r>
    </w:p>
    <w:p w14:paraId="05850EA9" w14:textId="15177CB4" w:rsidR="00674088" w:rsidRPr="00A16410" w:rsidRDefault="00674088" w:rsidP="00674088">
      <w:pPr>
        <w:rPr>
          <w:rFonts w:ascii="Times New Roman" w:hAnsi="Times New Roman" w:cs="Times New Roman"/>
          <w:sz w:val="24"/>
          <w:szCs w:val="24"/>
        </w:rPr>
      </w:pPr>
      <w:r w:rsidRPr="00A16410">
        <w:rPr>
          <w:rFonts w:ascii="Times New Roman" w:hAnsi="Times New Roman" w:cs="Times New Roman"/>
          <w:sz w:val="24"/>
          <w:szCs w:val="24"/>
        </w:rPr>
        <w:t>[5] Alpers P, Rossetti A, Capie D. Switzerland — Gun Facts, Figures and the Law. Sydney School of Public Health, The University of Sydney; 2019.</w:t>
      </w:r>
    </w:p>
    <w:p w14:paraId="1E43591C" w14:textId="4117B725" w:rsidR="00674088" w:rsidRPr="00A16410" w:rsidRDefault="00674088" w:rsidP="00674088">
      <w:pPr>
        <w:rPr>
          <w:rFonts w:ascii="Times New Roman" w:hAnsi="Times New Roman" w:cs="Times New Roman"/>
          <w:sz w:val="24"/>
          <w:szCs w:val="24"/>
        </w:rPr>
      </w:pPr>
      <w:r w:rsidRPr="00A16410">
        <w:rPr>
          <w:rFonts w:ascii="Times New Roman" w:hAnsi="Times New Roman" w:cs="Times New Roman"/>
          <w:sz w:val="24"/>
          <w:szCs w:val="24"/>
        </w:rPr>
        <w:lastRenderedPageBreak/>
        <w:t>[6] Alpers P, Rossetti A, Capie D. France — Gun Facts, Figures and the Law. Sydney School of Public Health, The University of Sydney; 2019.</w:t>
      </w:r>
    </w:p>
    <w:p w14:paraId="587D3A34" w14:textId="45D9D14B" w:rsidR="00674088" w:rsidRPr="00A16410" w:rsidRDefault="00674088" w:rsidP="00674088">
      <w:pPr>
        <w:rPr>
          <w:rFonts w:ascii="Times New Roman" w:hAnsi="Times New Roman" w:cs="Times New Roman"/>
          <w:sz w:val="24"/>
          <w:szCs w:val="24"/>
        </w:rPr>
      </w:pPr>
      <w:r w:rsidRPr="00A16410">
        <w:rPr>
          <w:rFonts w:ascii="Times New Roman" w:hAnsi="Times New Roman" w:cs="Times New Roman"/>
          <w:sz w:val="24"/>
          <w:szCs w:val="24"/>
        </w:rPr>
        <w:t>[7] Karp A. Estimating global civilian-held firearms numbers. Small Arms Survey; 2018.</w:t>
      </w:r>
    </w:p>
    <w:p w14:paraId="6A7A4C80" w14:textId="572EC1E5" w:rsidR="000407F2" w:rsidRPr="00A16410" w:rsidRDefault="00674088" w:rsidP="00674088">
      <w:pPr>
        <w:rPr>
          <w:rFonts w:ascii="Times New Roman" w:hAnsi="Times New Roman" w:cs="Times New Roman"/>
          <w:sz w:val="24"/>
          <w:szCs w:val="24"/>
        </w:rPr>
      </w:pPr>
      <w:r w:rsidRPr="00A16410">
        <w:rPr>
          <w:rFonts w:ascii="Times New Roman" w:hAnsi="Times New Roman" w:cs="Times New Roman"/>
          <w:sz w:val="24"/>
          <w:szCs w:val="24"/>
        </w:rPr>
        <w:t>[8] Gun Policy Facts and News. https://www.gunpolicy.org/</w:t>
      </w:r>
    </w:p>
    <w:sectPr w:rsidR="000407F2" w:rsidRPr="00A16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88"/>
    <w:rsid w:val="0000764D"/>
    <w:rsid w:val="000407F2"/>
    <w:rsid w:val="000540B7"/>
    <w:rsid w:val="000B6835"/>
    <w:rsid w:val="000D416E"/>
    <w:rsid w:val="00195A4B"/>
    <w:rsid w:val="00196185"/>
    <w:rsid w:val="002272BA"/>
    <w:rsid w:val="002C568C"/>
    <w:rsid w:val="00316888"/>
    <w:rsid w:val="003B44CF"/>
    <w:rsid w:val="00456161"/>
    <w:rsid w:val="00506BD1"/>
    <w:rsid w:val="005225A6"/>
    <w:rsid w:val="00536785"/>
    <w:rsid w:val="005F727D"/>
    <w:rsid w:val="00641993"/>
    <w:rsid w:val="00674088"/>
    <w:rsid w:val="00695310"/>
    <w:rsid w:val="006B055C"/>
    <w:rsid w:val="006E220C"/>
    <w:rsid w:val="006F0B92"/>
    <w:rsid w:val="007D413F"/>
    <w:rsid w:val="0083710C"/>
    <w:rsid w:val="008B3C07"/>
    <w:rsid w:val="0090085E"/>
    <w:rsid w:val="00907916"/>
    <w:rsid w:val="009171B3"/>
    <w:rsid w:val="009201AA"/>
    <w:rsid w:val="009B3735"/>
    <w:rsid w:val="00A16410"/>
    <w:rsid w:val="00A66CC9"/>
    <w:rsid w:val="00AB64C2"/>
    <w:rsid w:val="00B52BF7"/>
    <w:rsid w:val="00CE2D20"/>
    <w:rsid w:val="00DB5B9E"/>
    <w:rsid w:val="00DF2D1B"/>
    <w:rsid w:val="00E3011A"/>
    <w:rsid w:val="00E95A66"/>
    <w:rsid w:val="00EB7A43"/>
    <w:rsid w:val="00F13CC9"/>
    <w:rsid w:val="00F8369E"/>
    <w:rsid w:val="00F9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F61D"/>
  <w15:chartTrackingRefBased/>
  <w15:docId w15:val="{1EBDF72A-1BF7-4F1B-B59E-C07B63BC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68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567">
      <w:bodyDiv w:val="1"/>
      <w:marLeft w:val="0"/>
      <w:marRight w:val="0"/>
      <w:marTop w:val="0"/>
      <w:marBottom w:val="0"/>
      <w:divBdr>
        <w:top w:val="none" w:sz="0" w:space="0" w:color="auto"/>
        <w:left w:val="none" w:sz="0" w:space="0" w:color="auto"/>
        <w:bottom w:val="none" w:sz="0" w:space="0" w:color="auto"/>
        <w:right w:val="none" w:sz="0" w:space="0" w:color="auto"/>
      </w:divBdr>
    </w:div>
    <w:div w:id="154419415">
      <w:bodyDiv w:val="1"/>
      <w:marLeft w:val="0"/>
      <w:marRight w:val="0"/>
      <w:marTop w:val="0"/>
      <w:marBottom w:val="0"/>
      <w:divBdr>
        <w:top w:val="none" w:sz="0" w:space="0" w:color="auto"/>
        <w:left w:val="none" w:sz="0" w:space="0" w:color="auto"/>
        <w:bottom w:val="none" w:sz="0" w:space="0" w:color="auto"/>
        <w:right w:val="none" w:sz="0" w:space="0" w:color="auto"/>
      </w:divBdr>
    </w:div>
    <w:div w:id="186332122">
      <w:bodyDiv w:val="1"/>
      <w:marLeft w:val="0"/>
      <w:marRight w:val="0"/>
      <w:marTop w:val="0"/>
      <w:marBottom w:val="0"/>
      <w:divBdr>
        <w:top w:val="none" w:sz="0" w:space="0" w:color="auto"/>
        <w:left w:val="none" w:sz="0" w:space="0" w:color="auto"/>
        <w:bottom w:val="none" w:sz="0" w:space="0" w:color="auto"/>
        <w:right w:val="none" w:sz="0" w:space="0" w:color="auto"/>
      </w:divBdr>
    </w:div>
    <w:div w:id="1205480298">
      <w:bodyDiv w:val="1"/>
      <w:marLeft w:val="0"/>
      <w:marRight w:val="0"/>
      <w:marTop w:val="0"/>
      <w:marBottom w:val="0"/>
      <w:divBdr>
        <w:top w:val="none" w:sz="0" w:space="0" w:color="auto"/>
        <w:left w:val="none" w:sz="0" w:space="0" w:color="auto"/>
        <w:bottom w:val="none" w:sz="0" w:space="0" w:color="auto"/>
        <w:right w:val="none" w:sz="0" w:space="0" w:color="auto"/>
      </w:divBdr>
    </w:div>
    <w:div w:id="1380206818">
      <w:bodyDiv w:val="1"/>
      <w:marLeft w:val="0"/>
      <w:marRight w:val="0"/>
      <w:marTop w:val="0"/>
      <w:marBottom w:val="0"/>
      <w:divBdr>
        <w:top w:val="none" w:sz="0" w:space="0" w:color="auto"/>
        <w:left w:val="none" w:sz="0" w:space="0" w:color="auto"/>
        <w:bottom w:val="none" w:sz="0" w:space="0" w:color="auto"/>
        <w:right w:val="none" w:sz="0" w:space="0" w:color="auto"/>
      </w:divBdr>
    </w:div>
    <w:div w:id="1441871234">
      <w:bodyDiv w:val="1"/>
      <w:marLeft w:val="0"/>
      <w:marRight w:val="0"/>
      <w:marTop w:val="0"/>
      <w:marBottom w:val="0"/>
      <w:divBdr>
        <w:top w:val="none" w:sz="0" w:space="0" w:color="auto"/>
        <w:left w:val="none" w:sz="0" w:space="0" w:color="auto"/>
        <w:bottom w:val="none" w:sz="0" w:space="0" w:color="auto"/>
        <w:right w:val="none" w:sz="0" w:space="0" w:color="auto"/>
      </w:divBdr>
    </w:div>
    <w:div w:id="149036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NYHAI Valhalla</dc:creator>
  <cp:keywords/>
  <dc:description/>
  <cp:lastModifiedBy>NYHAI Valhalla</cp:lastModifiedBy>
  <cp:revision>4</cp:revision>
  <cp:lastPrinted>2023-09-09T04:10:00Z</cp:lastPrinted>
  <dcterms:created xsi:type="dcterms:W3CDTF">2023-09-26T19:31:00Z</dcterms:created>
  <dcterms:modified xsi:type="dcterms:W3CDTF">2023-09-26T19:54:00Z</dcterms:modified>
</cp:coreProperties>
</file>